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8AA" w:rsidRPr="0021039A" w:rsidRDefault="0021039A" w:rsidP="003F48AA">
      <w:pPr>
        <w:pStyle w:val="Ingetavstnd"/>
      </w:pPr>
      <w:r>
        <w:tab/>
      </w:r>
      <w:r>
        <w:tab/>
      </w:r>
      <w:r w:rsidRPr="0021039A">
        <w:tab/>
      </w:r>
      <w:r w:rsidRPr="0021039A">
        <w:tab/>
      </w:r>
      <w:r>
        <w:tab/>
      </w:r>
      <w:bookmarkStart w:id="0" w:name="_GoBack"/>
      <w:bookmarkEnd w:id="0"/>
    </w:p>
    <w:p w:rsidR="003F48AA" w:rsidRDefault="003F48AA" w:rsidP="003F48AA">
      <w:pPr>
        <w:pStyle w:val="Ingetavstnd"/>
      </w:pPr>
    </w:p>
    <w:p w:rsidR="00F03E6B" w:rsidRPr="00F03E6B" w:rsidRDefault="00F03E6B" w:rsidP="00F03E6B">
      <w:pPr>
        <w:pStyle w:val="Ingetavstnd"/>
        <w:ind w:left="720"/>
        <w:jc w:val="center"/>
        <w:rPr>
          <w:b/>
          <w:i/>
          <w:color w:val="BFBFBF" w:themeColor="background1" w:themeShade="BF"/>
          <w:sz w:val="56"/>
          <w:szCs w:val="56"/>
        </w:rPr>
      </w:pPr>
      <w:r w:rsidRPr="00F03E6B">
        <w:rPr>
          <w:b/>
          <w:i/>
          <w:color w:val="BFBFBF" w:themeColor="background1" w:themeShade="BF"/>
          <w:sz w:val="56"/>
          <w:szCs w:val="56"/>
        </w:rPr>
        <w:t>ARBETSDOKUMENT</w:t>
      </w:r>
    </w:p>
    <w:p w:rsidR="003F48AA" w:rsidRDefault="003F48AA" w:rsidP="003F48AA">
      <w:pPr>
        <w:pStyle w:val="Ingetavstnd"/>
        <w:rPr>
          <w:b/>
          <w:sz w:val="4"/>
          <w:szCs w:val="4"/>
        </w:rPr>
      </w:pPr>
    </w:p>
    <w:p w:rsidR="003F48AA" w:rsidRDefault="003F48AA" w:rsidP="003F48AA">
      <w:pPr>
        <w:pStyle w:val="Ingetavstnd"/>
        <w:rPr>
          <w:b/>
          <w:sz w:val="4"/>
          <w:szCs w:val="4"/>
        </w:rPr>
      </w:pPr>
    </w:p>
    <w:p w:rsidR="003F48AA" w:rsidRDefault="003F48AA" w:rsidP="003F48AA">
      <w:pPr>
        <w:pStyle w:val="Ingetavstnd"/>
        <w:rPr>
          <w:b/>
          <w:sz w:val="4"/>
          <w:szCs w:val="4"/>
        </w:rPr>
      </w:pPr>
    </w:p>
    <w:p w:rsidR="003F48AA" w:rsidRDefault="003F48AA" w:rsidP="003F48AA">
      <w:pPr>
        <w:pStyle w:val="Ingetavstnd"/>
        <w:rPr>
          <w:b/>
          <w:sz w:val="4"/>
          <w:szCs w:val="4"/>
        </w:rPr>
      </w:pPr>
    </w:p>
    <w:p w:rsidR="003F48AA" w:rsidRDefault="003F48AA" w:rsidP="003F48AA">
      <w:pPr>
        <w:pStyle w:val="Ingetavstnd"/>
        <w:rPr>
          <w:b/>
          <w:sz w:val="4"/>
          <w:szCs w:val="4"/>
        </w:rPr>
      </w:pPr>
    </w:p>
    <w:p w:rsidR="003F48AA" w:rsidRDefault="003F48AA" w:rsidP="003F48AA">
      <w:pPr>
        <w:pStyle w:val="Ingetavstnd"/>
        <w:rPr>
          <w:b/>
          <w:sz w:val="4"/>
          <w:szCs w:val="4"/>
        </w:rPr>
      </w:pPr>
    </w:p>
    <w:p w:rsidR="003F48AA" w:rsidRDefault="003F48AA" w:rsidP="003F48AA">
      <w:pPr>
        <w:pStyle w:val="Ingetavstnd"/>
        <w:rPr>
          <w:b/>
          <w:sz w:val="4"/>
          <w:szCs w:val="4"/>
        </w:rPr>
      </w:pPr>
    </w:p>
    <w:p w:rsidR="003F48AA" w:rsidRPr="00F1138F" w:rsidRDefault="00F03E6B" w:rsidP="003F48AA">
      <w:pPr>
        <w:pStyle w:val="Ingetavstnd"/>
        <w:rPr>
          <w:b/>
          <w:sz w:val="44"/>
          <w:szCs w:val="44"/>
        </w:rPr>
      </w:pPr>
      <w:r>
        <w:rPr>
          <w:b/>
          <w:sz w:val="44"/>
          <w:szCs w:val="44"/>
        </w:rPr>
        <w:t>Ö</w:t>
      </w:r>
      <w:r w:rsidR="003F48AA" w:rsidRPr="00F1138F">
        <w:rPr>
          <w:b/>
          <w:sz w:val="44"/>
          <w:szCs w:val="44"/>
        </w:rPr>
        <w:t>verenskommelse om regional samverkan gällande kultur för äldre</w:t>
      </w:r>
    </w:p>
    <w:p w:rsidR="003F48AA" w:rsidRDefault="003F48AA" w:rsidP="003F48AA">
      <w:pPr>
        <w:pStyle w:val="Ingetavstnd"/>
      </w:pPr>
    </w:p>
    <w:p w:rsidR="003F48AA" w:rsidRPr="00F03E6B" w:rsidRDefault="003F48AA" w:rsidP="003F48AA">
      <w:pPr>
        <w:pStyle w:val="Ingetavstnd"/>
      </w:pPr>
      <w:r>
        <w:t xml:space="preserve">Alla ska ha möjlighet att delta i kulturlivet - det är ett av målen inom såväl den regionala som den nationella kulturpolitiken. Många äldre kan av olika ha skäl ha svårt att ta del av kulturlivet och få möjligheter till eget skapande. Ett aktivt och kulturellt liv ger positiva </w:t>
      </w:r>
      <w:r w:rsidRPr="00F03E6B">
        <w:t>hälsoeffekter. Aktuell forskning visar bland annat hur kulturell verksamhet påverkar hjärnans funktioner positivt. Denna överenskommelse vilar på vetenskaplig grund och syftar till att öka tillgängligheten till ett kulturutbud med hög konstnärlig kvalitet, utifrån den äldres behov och önskemål.</w:t>
      </w:r>
    </w:p>
    <w:p w:rsidR="003F48AA" w:rsidRDefault="003F48AA" w:rsidP="003F48AA">
      <w:pPr>
        <w:pStyle w:val="Ingetavstnd"/>
        <w:rPr>
          <w:i/>
        </w:rPr>
      </w:pPr>
    </w:p>
    <w:p w:rsidR="003F48AA" w:rsidRDefault="003F48AA" w:rsidP="003F48AA">
      <w:pPr>
        <w:pStyle w:val="Ingetavstnd"/>
        <w:rPr>
          <w:i/>
        </w:rPr>
      </w:pPr>
    </w:p>
    <w:p w:rsidR="003F48AA" w:rsidRPr="00582313" w:rsidRDefault="003F48AA" w:rsidP="003F48AA">
      <w:pPr>
        <w:pStyle w:val="Ingetavstnd"/>
        <w:rPr>
          <w:b/>
          <w:sz w:val="28"/>
          <w:szCs w:val="28"/>
        </w:rPr>
      </w:pPr>
      <w:r>
        <w:rPr>
          <w:b/>
          <w:sz w:val="28"/>
          <w:szCs w:val="28"/>
        </w:rPr>
        <w:t>Målgrupp</w:t>
      </w:r>
    </w:p>
    <w:p w:rsidR="003F48AA" w:rsidRPr="00F03E6B" w:rsidRDefault="003F48AA" w:rsidP="003F48AA">
      <w:pPr>
        <w:pStyle w:val="Ingetavstnd"/>
      </w:pPr>
      <w:r w:rsidRPr="00F03E6B">
        <w:t>Överenskommelsen avser aktiviteter för personer över 65 år med behov av insatser i form av hemtjänst, dagverksamhet, boende eller av förebyggande insatser i kommunal, eller privat regi eller entreprenad.</w:t>
      </w:r>
    </w:p>
    <w:p w:rsidR="003F48AA" w:rsidRDefault="003F48AA" w:rsidP="003F48AA">
      <w:pPr>
        <w:pStyle w:val="Ingetavstnd"/>
      </w:pPr>
    </w:p>
    <w:p w:rsidR="003F48AA" w:rsidRDefault="003F48AA" w:rsidP="003F48AA">
      <w:pPr>
        <w:pStyle w:val="Ingetavstnd"/>
      </w:pPr>
    </w:p>
    <w:p w:rsidR="003F48AA" w:rsidRPr="00F03E6B" w:rsidRDefault="003F48AA" w:rsidP="003F48AA">
      <w:pPr>
        <w:pStyle w:val="Ingetavstnd"/>
        <w:rPr>
          <w:b/>
        </w:rPr>
      </w:pPr>
      <w:r w:rsidRPr="00582313">
        <w:rPr>
          <w:b/>
          <w:sz w:val="28"/>
          <w:szCs w:val="28"/>
        </w:rPr>
        <w:t xml:space="preserve">Regionalt </w:t>
      </w:r>
      <w:r w:rsidRPr="00F03E6B">
        <w:rPr>
          <w:b/>
          <w:sz w:val="28"/>
          <w:szCs w:val="28"/>
        </w:rPr>
        <w:t>subventionerat kulturutbud</w:t>
      </w:r>
      <w:r w:rsidRPr="00F03E6B">
        <w:rPr>
          <w:b/>
        </w:rPr>
        <w:t xml:space="preserve"> </w:t>
      </w:r>
    </w:p>
    <w:p w:rsidR="003F48AA" w:rsidRDefault="003F48AA" w:rsidP="003F48AA">
      <w:pPr>
        <w:pStyle w:val="Ingetavstnd"/>
        <w:numPr>
          <w:ilvl w:val="0"/>
          <w:numId w:val="2"/>
        </w:numPr>
      </w:pPr>
      <w:r w:rsidRPr="00F03E6B">
        <w:t>De subventionerade programmen ska</w:t>
      </w:r>
      <w:r>
        <w:t xml:space="preserve"> uppfylla kravet på kvalitet. I begreppet ingår både konstnärlig professionalitet och lämplighet.</w:t>
      </w:r>
    </w:p>
    <w:p w:rsidR="003F48AA" w:rsidRDefault="003F48AA" w:rsidP="003F48AA">
      <w:pPr>
        <w:pStyle w:val="Ingetavstnd"/>
        <w:numPr>
          <w:ilvl w:val="0"/>
          <w:numId w:val="2"/>
        </w:numPr>
      </w:pPr>
      <w:r>
        <w:t>Utbudet ska erbjuda program både för kulturupplevelser och eget skapande.</w:t>
      </w:r>
    </w:p>
    <w:p w:rsidR="003F48AA" w:rsidRDefault="003F48AA" w:rsidP="003F48AA">
      <w:pPr>
        <w:pStyle w:val="Ingetavstnd"/>
        <w:numPr>
          <w:ilvl w:val="0"/>
          <w:numId w:val="2"/>
        </w:numPr>
      </w:pPr>
      <w:r>
        <w:t>Utbudet ska vara varierat både gällande innehåll och medverkande kulturskapare.</w:t>
      </w:r>
    </w:p>
    <w:p w:rsidR="003F48AA" w:rsidRPr="00F03E6B" w:rsidRDefault="003F48AA" w:rsidP="003F48AA">
      <w:pPr>
        <w:pStyle w:val="Ingetavstnd"/>
        <w:numPr>
          <w:ilvl w:val="0"/>
          <w:numId w:val="2"/>
        </w:numPr>
      </w:pPr>
      <w:r w:rsidRPr="00F03E6B">
        <w:t>Utbudet formas i samverkan med kommunerna, genom en referensgrupp (REKO-gruppen) med representanter från äldreomsorg och kultur i samtliga kommuner.</w:t>
      </w:r>
    </w:p>
    <w:p w:rsidR="003F48AA" w:rsidRPr="00F03E6B" w:rsidRDefault="003F48AA" w:rsidP="003F48AA">
      <w:pPr>
        <w:pStyle w:val="Ingetavstnd"/>
        <w:numPr>
          <w:ilvl w:val="0"/>
          <w:numId w:val="2"/>
        </w:numPr>
      </w:pPr>
      <w:r w:rsidRPr="00F03E6B">
        <w:rPr>
          <w:sz w:val="18"/>
          <w:szCs w:val="18"/>
        </w:rPr>
        <w:t xml:space="preserve"> </w:t>
      </w:r>
      <w:r w:rsidRPr="00F03E6B">
        <w:t>Målgruppen ges möjlighet att påverka utbudet.</w:t>
      </w:r>
    </w:p>
    <w:p w:rsidR="003F48AA" w:rsidRPr="00E74FDE" w:rsidRDefault="003F48AA" w:rsidP="003F48AA">
      <w:pPr>
        <w:pStyle w:val="Ingetavstnd"/>
        <w:ind w:left="720"/>
        <w:rPr>
          <w:color w:val="2F5496" w:themeColor="accent5" w:themeShade="BF"/>
          <w:sz w:val="18"/>
          <w:szCs w:val="18"/>
        </w:rPr>
      </w:pPr>
    </w:p>
    <w:p w:rsidR="003F48AA" w:rsidRPr="003B5133" w:rsidRDefault="003F48AA" w:rsidP="003F48AA">
      <w:pPr>
        <w:pStyle w:val="Ingetavstnd"/>
        <w:rPr>
          <w:color w:val="FF0000"/>
          <w:sz w:val="18"/>
          <w:szCs w:val="18"/>
        </w:rPr>
      </w:pPr>
    </w:p>
    <w:p w:rsidR="003F48AA" w:rsidRPr="00582313" w:rsidRDefault="003F48AA" w:rsidP="003F48AA">
      <w:pPr>
        <w:pStyle w:val="Ingetavstnd"/>
        <w:rPr>
          <w:b/>
          <w:sz w:val="28"/>
          <w:szCs w:val="28"/>
        </w:rPr>
      </w:pPr>
      <w:r w:rsidRPr="00582313">
        <w:rPr>
          <w:b/>
          <w:sz w:val="28"/>
          <w:szCs w:val="28"/>
        </w:rPr>
        <w:t>Hallands bildningsförbund</w:t>
      </w:r>
    </w:p>
    <w:p w:rsidR="003F48AA" w:rsidRPr="00F03E6B" w:rsidRDefault="003F48AA" w:rsidP="00F03E6B">
      <w:pPr>
        <w:pStyle w:val="Ingetavstnd"/>
      </w:pPr>
      <w:r w:rsidRPr="00F03E6B">
        <w:t>Genom uppdrag från Region Halland ska Hallands bildningsförbund säkerställa fortlevnad och utveckling av överenskommelsen om regional samverkan gällande kultur för äldre. Dessutom ska Hallands bildningsförbund samordna, främja, utveckla och förmedla kultur av hög kvalitet. Hallands bildningsförbund ombesörjer:</w:t>
      </w:r>
    </w:p>
    <w:p w:rsidR="003F48AA" w:rsidRPr="00F03E6B" w:rsidRDefault="003F48AA" w:rsidP="00F03E6B">
      <w:pPr>
        <w:pStyle w:val="Ingetavstnd"/>
        <w:numPr>
          <w:ilvl w:val="0"/>
          <w:numId w:val="7"/>
        </w:numPr>
      </w:pPr>
      <w:r w:rsidRPr="00F03E6B">
        <w:t>årlig presentation av utbud och artister i katalog, på webbsida och vid utbudsdag.</w:t>
      </w:r>
    </w:p>
    <w:p w:rsidR="003F48AA" w:rsidRPr="00F03E6B" w:rsidRDefault="003F48AA" w:rsidP="00F03E6B">
      <w:pPr>
        <w:pStyle w:val="Ingetavstnd"/>
        <w:numPr>
          <w:ilvl w:val="0"/>
          <w:numId w:val="7"/>
        </w:numPr>
      </w:pPr>
      <w:proofErr w:type="gramStart"/>
      <w:r w:rsidRPr="00F03E6B">
        <w:t>bokning och administration av programmen.</w:t>
      </w:r>
      <w:proofErr w:type="gramEnd"/>
    </w:p>
    <w:p w:rsidR="00F03E6B" w:rsidRDefault="00F03E6B" w:rsidP="00F03E6B">
      <w:pPr>
        <w:pStyle w:val="Ingetavstnd"/>
      </w:pPr>
    </w:p>
    <w:p w:rsidR="00F03E6B" w:rsidRDefault="00F03E6B" w:rsidP="00F03E6B">
      <w:pPr>
        <w:pStyle w:val="Ingetavstnd"/>
      </w:pPr>
    </w:p>
    <w:p w:rsidR="00F03E6B" w:rsidRDefault="00F03E6B" w:rsidP="00F03E6B">
      <w:pPr>
        <w:pStyle w:val="Ingetavstnd"/>
      </w:pPr>
    </w:p>
    <w:p w:rsidR="003F48AA" w:rsidRPr="00F03E6B" w:rsidRDefault="003F48AA" w:rsidP="00F03E6B">
      <w:pPr>
        <w:pStyle w:val="Ingetavstnd"/>
        <w:rPr>
          <w:b/>
          <w:sz w:val="28"/>
          <w:szCs w:val="28"/>
        </w:rPr>
      </w:pPr>
      <w:r w:rsidRPr="00F03E6B">
        <w:rPr>
          <w:b/>
          <w:sz w:val="28"/>
          <w:szCs w:val="28"/>
        </w:rPr>
        <w:t>Kommunala insatser</w:t>
      </w:r>
    </w:p>
    <w:p w:rsidR="003F48AA" w:rsidRPr="00F03E6B" w:rsidRDefault="003F48AA" w:rsidP="00F03E6B">
      <w:pPr>
        <w:pStyle w:val="Ingetavstnd"/>
        <w:numPr>
          <w:ilvl w:val="0"/>
          <w:numId w:val="8"/>
        </w:numPr>
      </w:pPr>
      <w:r w:rsidRPr="00F03E6B">
        <w:t>Kommunerna arbetar utifrån egna lokala överenskommelser gällande hur kulturen används som resurs för målgruppen.</w:t>
      </w:r>
    </w:p>
    <w:p w:rsidR="003F48AA" w:rsidRPr="003B5133" w:rsidRDefault="003F48AA" w:rsidP="003F48AA">
      <w:pPr>
        <w:pStyle w:val="Ingetavstnd"/>
        <w:numPr>
          <w:ilvl w:val="0"/>
          <w:numId w:val="4"/>
        </w:numPr>
        <w:rPr>
          <w:i/>
        </w:rPr>
      </w:pPr>
      <w:r>
        <w:t>Kontaktperson för samverkan med regionen. Denna person ansvarar för fördelningen av subventionsmedel inom kommunen och är även i övrigt förmedlande kontakt mellan region och aktörer inom kommunen.</w:t>
      </w:r>
    </w:p>
    <w:p w:rsidR="00827B85" w:rsidRPr="00F03E6B" w:rsidRDefault="00827B85" w:rsidP="00827B85">
      <w:pPr>
        <w:pStyle w:val="Ingetavstnd"/>
        <w:ind w:left="720"/>
        <w:jc w:val="center"/>
        <w:rPr>
          <w:b/>
          <w:i/>
          <w:color w:val="BFBFBF" w:themeColor="background1" w:themeShade="BF"/>
          <w:sz w:val="56"/>
          <w:szCs w:val="56"/>
        </w:rPr>
      </w:pPr>
      <w:r>
        <w:rPr>
          <w:b/>
          <w:i/>
          <w:color w:val="BFBFBF" w:themeColor="background1" w:themeShade="BF"/>
          <w:sz w:val="56"/>
          <w:szCs w:val="56"/>
        </w:rPr>
        <w:lastRenderedPageBreak/>
        <w:t>ARBETSDOKUMENT</w:t>
      </w:r>
    </w:p>
    <w:p w:rsidR="003F48AA" w:rsidRDefault="003F48AA" w:rsidP="003F48AA">
      <w:pPr>
        <w:pStyle w:val="Ingetavstnd"/>
        <w:ind w:left="720"/>
        <w:rPr>
          <w:i/>
        </w:rPr>
      </w:pPr>
    </w:p>
    <w:p w:rsidR="003F48AA" w:rsidRPr="00243C9C" w:rsidRDefault="003F48AA" w:rsidP="003F48AA">
      <w:pPr>
        <w:pStyle w:val="Ingetavstnd"/>
        <w:ind w:left="720"/>
        <w:rPr>
          <w:i/>
        </w:rPr>
      </w:pPr>
    </w:p>
    <w:p w:rsidR="003F48AA" w:rsidRPr="00582313" w:rsidRDefault="003F48AA" w:rsidP="003F48AA">
      <w:pPr>
        <w:pStyle w:val="Ingetavstnd"/>
        <w:rPr>
          <w:b/>
          <w:sz w:val="28"/>
          <w:szCs w:val="28"/>
        </w:rPr>
      </w:pPr>
      <w:r w:rsidRPr="00582313">
        <w:rPr>
          <w:b/>
          <w:sz w:val="28"/>
          <w:szCs w:val="28"/>
        </w:rPr>
        <w:t>Finansiering</w:t>
      </w:r>
    </w:p>
    <w:p w:rsidR="003F48AA" w:rsidRDefault="003F48AA" w:rsidP="003F48AA">
      <w:pPr>
        <w:pStyle w:val="Ingetavstnd"/>
      </w:pPr>
      <w:r>
        <w:t xml:space="preserve">Hallands bildningsförbund tilldelas ett årligt </w:t>
      </w:r>
      <w:r w:rsidRPr="00F03E6B">
        <w:t>regionalt anslag, som ska användas till subventionering av utbud samt övriga regionala insatser. Anslaget fastställs i samband</w:t>
      </w:r>
      <w:r>
        <w:t xml:space="preserve"> med Region Hallands årliga budget och verksamhetsplan. Vid förändring av förutsättningarna ska dialog föras med samtliga parter.</w:t>
      </w:r>
    </w:p>
    <w:p w:rsidR="003F48AA" w:rsidRDefault="003F48AA" w:rsidP="003F48AA">
      <w:pPr>
        <w:pStyle w:val="Ingetavstnd"/>
      </w:pPr>
    </w:p>
    <w:p w:rsidR="003F48AA" w:rsidRDefault="003F48AA" w:rsidP="003F48AA">
      <w:pPr>
        <w:pStyle w:val="Ingetavstnd"/>
      </w:pPr>
    </w:p>
    <w:p w:rsidR="003F48AA" w:rsidRPr="00F03E6B" w:rsidRDefault="003F48AA" w:rsidP="003F48AA">
      <w:pPr>
        <w:pStyle w:val="Ingetavstnd"/>
        <w:rPr>
          <w:b/>
          <w:sz w:val="28"/>
          <w:szCs w:val="28"/>
        </w:rPr>
      </w:pPr>
      <w:r w:rsidRPr="00F03E6B">
        <w:rPr>
          <w:b/>
          <w:sz w:val="28"/>
          <w:szCs w:val="28"/>
        </w:rPr>
        <w:t>Fördelningsprinciper gällande regionala subventioner</w:t>
      </w:r>
    </w:p>
    <w:p w:rsidR="003F48AA" w:rsidRPr="00F03E6B" w:rsidRDefault="003F48AA" w:rsidP="003F48AA">
      <w:pPr>
        <w:pStyle w:val="Ingetavstnd"/>
      </w:pPr>
      <w:r w:rsidRPr="00F03E6B">
        <w:t>Överenskommelsen bygger på en delad finansiering region och kommuner, med 50/50.</w:t>
      </w:r>
    </w:p>
    <w:p w:rsidR="003F48AA" w:rsidRPr="00F03E6B" w:rsidRDefault="003F48AA" w:rsidP="003F48AA">
      <w:pPr>
        <w:pStyle w:val="Ingetavstnd"/>
      </w:pPr>
      <w:r w:rsidRPr="00F03E6B">
        <w:t xml:space="preserve">Regionen anslår årligen medel för att subventionera det utvalda utbudet med 50 % av kostnaden, hittills med </w:t>
      </w:r>
      <w:proofErr w:type="gramStart"/>
      <w:r w:rsidRPr="00F03E6B">
        <w:t>600.000</w:t>
      </w:r>
      <w:proofErr w:type="gramEnd"/>
      <w:r w:rsidRPr="00F03E6B">
        <w:t xml:space="preserve"> kr per år. För att fördela anslaget proportionellt mellan kommunerna används antalet 65 + i varje kommun som beräkningsgrund (SCB).</w:t>
      </w:r>
      <w:r w:rsidR="00F03E6B">
        <w:t xml:space="preserve"> </w:t>
      </w:r>
      <w:r w:rsidRPr="00F03E6B">
        <w:t>Bildningsförbundet justerar årligen för eventuella ändringar av antal inom ålderssegmentet.</w:t>
      </w:r>
      <w:r w:rsidR="00F03E6B">
        <w:t xml:space="preserve"> </w:t>
      </w:r>
      <w:r w:rsidRPr="00F03E6B">
        <w:t>(Se bilaga 1)</w:t>
      </w:r>
    </w:p>
    <w:p w:rsidR="003F48AA" w:rsidRPr="00F03E6B" w:rsidRDefault="003F48AA" w:rsidP="003F48AA">
      <w:pPr>
        <w:pStyle w:val="Ingetavstnd"/>
      </w:pPr>
      <w:r w:rsidRPr="00F03E6B">
        <w:t xml:space="preserve">Medel som </w:t>
      </w:r>
      <w:proofErr w:type="gramStart"/>
      <w:r w:rsidRPr="00F03E6B">
        <w:t>ej</w:t>
      </w:r>
      <w:proofErr w:type="gramEnd"/>
      <w:r w:rsidRPr="00F03E6B">
        <w:t xml:space="preserve"> tagits i bruk under ett år, kan tilldelas annan kommun eller användas till särskilda insatser som beslutas av bildningsförbundet efter samråd med REKO-gruppen.</w:t>
      </w:r>
    </w:p>
    <w:p w:rsidR="003F48AA" w:rsidRDefault="003F48AA" w:rsidP="003F48AA">
      <w:pPr>
        <w:pStyle w:val="Ingetavstnd"/>
      </w:pPr>
    </w:p>
    <w:p w:rsidR="003F48AA" w:rsidRPr="00BB41DC" w:rsidRDefault="003F48AA" w:rsidP="003F48AA">
      <w:pPr>
        <w:pStyle w:val="Ingetavstnd"/>
        <w:rPr>
          <w:color w:val="2F5496" w:themeColor="accent5" w:themeShade="BF"/>
        </w:rPr>
      </w:pPr>
    </w:p>
    <w:p w:rsidR="003F48AA" w:rsidRPr="00F03E6B" w:rsidRDefault="003F48AA" w:rsidP="003F48AA">
      <w:pPr>
        <w:pStyle w:val="Ingetavstnd"/>
        <w:rPr>
          <w:b/>
          <w:sz w:val="28"/>
          <w:szCs w:val="28"/>
        </w:rPr>
      </w:pPr>
      <w:r w:rsidRPr="00F03E6B">
        <w:rPr>
          <w:b/>
          <w:sz w:val="28"/>
          <w:szCs w:val="28"/>
        </w:rPr>
        <w:t>Övriga regionala insatser i samverkan med kommunerna</w:t>
      </w:r>
    </w:p>
    <w:p w:rsidR="003F48AA" w:rsidRPr="00F03E6B" w:rsidRDefault="003F48AA" w:rsidP="003F48AA">
      <w:pPr>
        <w:pStyle w:val="Ingetavstnd"/>
        <w:numPr>
          <w:ilvl w:val="0"/>
          <w:numId w:val="1"/>
        </w:numPr>
      </w:pPr>
      <w:r w:rsidRPr="00F03E6B">
        <w:t>Verkar för att öka kunskapen om kulturens betydelse för hälsan, särskilt för äldre</w:t>
      </w:r>
    </w:p>
    <w:p w:rsidR="003F48AA" w:rsidRPr="00F03E6B" w:rsidRDefault="003F48AA" w:rsidP="003F48AA">
      <w:pPr>
        <w:pStyle w:val="Ingetavstnd"/>
        <w:numPr>
          <w:ilvl w:val="0"/>
          <w:numId w:val="1"/>
        </w:numPr>
      </w:pPr>
      <w:r w:rsidRPr="00F03E6B">
        <w:t>Driver utvecklingen av utbudet</w:t>
      </w:r>
    </w:p>
    <w:p w:rsidR="003F48AA" w:rsidRPr="00F03E6B" w:rsidRDefault="003F48AA" w:rsidP="003F48AA">
      <w:pPr>
        <w:pStyle w:val="Ingetavstnd"/>
        <w:numPr>
          <w:ilvl w:val="0"/>
          <w:numId w:val="1"/>
        </w:numPr>
      </w:pPr>
      <w:r w:rsidRPr="00F03E6B">
        <w:t>Utvecklar och upprätthåller löpande information och utbyte med kommunerna</w:t>
      </w:r>
    </w:p>
    <w:p w:rsidR="003F48AA" w:rsidRPr="00F03E6B" w:rsidRDefault="003F48AA" w:rsidP="003F48AA">
      <w:pPr>
        <w:pStyle w:val="Ingetavstnd"/>
        <w:numPr>
          <w:ilvl w:val="0"/>
          <w:numId w:val="1"/>
        </w:numPr>
      </w:pPr>
      <w:r w:rsidRPr="00F03E6B">
        <w:t>Samordnar insatser för utbildning om kultur och hälsa, dels för befintlig personal, dels på vårdutbildningar</w:t>
      </w:r>
    </w:p>
    <w:p w:rsidR="003F48AA" w:rsidRPr="00F03E6B" w:rsidRDefault="003F48AA" w:rsidP="003F48AA">
      <w:pPr>
        <w:pStyle w:val="Ingetavstnd"/>
        <w:numPr>
          <w:ilvl w:val="0"/>
          <w:numId w:val="1"/>
        </w:numPr>
      </w:pPr>
      <w:r w:rsidRPr="00F03E6B">
        <w:t>Samverkar med Högskolan i Halmstad och andra forskningsinstanser</w:t>
      </w:r>
    </w:p>
    <w:p w:rsidR="003F48AA" w:rsidRPr="00F03E6B" w:rsidRDefault="003F48AA" w:rsidP="003F48AA">
      <w:pPr>
        <w:pStyle w:val="Ingetavstnd"/>
        <w:numPr>
          <w:ilvl w:val="0"/>
          <w:numId w:val="1"/>
        </w:numPr>
      </w:pPr>
      <w:r w:rsidRPr="00F03E6B">
        <w:t>Delger kommunerna omvärldsbevakning och medverkan i nätverk</w:t>
      </w:r>
    </w:p>
    <w:p w:rsidR="003F48AA" w:rsidRPr="00F03E6B" w:rsidRDefault="003F48AA" w:rsidP="003F48AA">
      <w:pPr>
        <w:pStyle w:val="Ingetavstnd"/>
        <w:numPr>
          <w:ilvl w:val="0"/>
          <w:numId w:val="1"/>
        </w:numPr>
      </w:pPr>
      <w:r w:rsidRPr="00F03E6B">
        <w:t>Sprider av resultaten från Halland</w:t>
      </w:r>
    </w:p>
    <w:p w:rsidR="003F48AA" w:rsidRDefault="003F48AA" w:rsidP="003F48AA">
      <w:pPr>
        <w:pStyle w:val="Ingetavstnd"/>
      </w:pPr>
    </w:p>
    <w:p w:rsidR="00F03E6B" w:rsidRDefault="00F03E6B" w:rsidP="003F48AA">
      <w:pPr>
        <w:pStyle w:val="Ingetavstnd"/>
      </w:pPr>
    </w:p>
    <w:p w:rsidR="003F48AA" w:rsidRPr="00000E9E" w:rsidRDefault="003F48AA" w:rsidP="003F48AA">
      <w:pPr>
        <w:pStyle w:val="Ingetavstnd"/>
        <w:rPr>
          <w:b/>
          <w:sz w:val="28"/>
          <w:szCs w:val="28"/>
        </w:rPr>
      </w:pPr>
      <w:r w:rsidRPr="00000E9E">
        <w:rPr>
          <w:b/>
          <w:sz w:val="28"/>
          <w:szCs w:val="28"/>
        </w:rPr>
        <w:t>Uppföljning och utvärdering</w:t>
      </w:r>
    </w:p>
    <w:p w:rsidR="003F48AA" w:rsidRDefault="003F48AA" w:rsidP="003F48AA">
      <w:pPr>
        <w:pStyle w:val="Ingetavstnd"/>
      </w:pPr>
      <w:r w:rsidRPr="00F03E6B">
        <w:t>Hallands bildningsförbund redovisar årligen efter bokslut de insatser som gjorts samt utfallet kommunvis. Detta sker genom</w:t>
      </w:r>
      <w:r w:rsidR="00F03E6B" w:rsidRPr="00F03E6B">
        <w:rPr>
          <w:strike/>
        </w:rPr>
        <w:t xml:space="preserve"> </w:t>
      </w:r>
      <w:r w:rsidRPr="00F03E6B">
        <w:t>möten med Taktisk grupp senior och Taktisk grupp kultur,</w:t>
      </w:r>
      <w:r w:rsidRPr="00F03E6B">
        <w:rPr>
          <w:sz w:val="18"/>
          <w:szCs w:val="18"/>
        </w:rPr>
        <w:t xml:space="preserve"> </w:t>
      </w:r>
      <w:r w:rsidRPr="00F03E6B">
        <w:t>där även representant från Kultur i Halland medverkar. Med denna redovisning som underlag följer Region Halland och kommunernas förvaltningar gemensamt upp och utvärderar denna överenskommelse om samverkan.</w:t>
      </w:r>
    </w:p>
    <w:p w:rsidR="00F03E6B" w:rsidRDefault="00F03E6B" w:rsidP="003F48AA">
      <w:pPr>
        <w:pStyle w:val="Ingetavstnd"/>
      </w:pPr>
    </w:p>
    <w:p w:rsidR="00F03E6B" w:rsidRPr="00F03E6B" w:rsidRDefault="00F03E6B" w:rsidP="003F48AA">
      <w:pPr>
        <w:pStyle w:val="Ingetavstnd"/>
      </w:pPr>
    </w:p>
    <w:p w:rsidR="003F48AA" w:rsidRPr="004268D6" w:rsidRDefault="003F48AA" w:rsidP="003F48AA">
      <w:pPr>
        <w:pStyle w:val="Ingetavstnd"/>
        <w:rPr>
          <w:b/>
          <w:sz w:val="28"/>
          <w:szCs w:val="28"/>
        </w:rPr>
      </w:pPr>
      <w:r w:rsidRPr="004268D6">
        <w:rPr>
          <w:b/>
          <w:sz w:val="28"/>
          <w:szCs w:val="28"/>
        </w:rPr>
        <w:t>Giltighetstid och uppsägning</w:t>
      </w:r>
    </w:p>
    <w:p w:rsidR="003F48AA" w:rsidRDefault="003F48AA" w:rsidP="003F48AA">
      <w:pPr>
        <w:pStyle w:val="Ingetavstnd"/>
      </w:pPr>
      <w:r>
        <w:t>Denna överenskommelse är tecknad mellan Region Halland/Kultur i Halland och de förvaltningar i alla kommuner som ansvarar för äldreomsorg respektive kultur.</w:t>
      </w:r>
    </w:p>
    <w:p w:rsidR="003F48AA" w:rsidRDefault="003F48AA" w:rsidP="003F48AA">
      <w:pPr>
        <w:pStyle w:val="Ingetavstnd"/>
      </w:pPr>
      <w:r w:rsidRPr="00F03E6B">
        <w:t>Överenskommelsen gäller löpande med en uppsägningstid om sex månader.</w:t>
      </w:r>
    </w:p>
    <w:p w:rsidR="0021039A" w:rsidRDefault="0021039A" w:rsidP="003F48AA">
      <w:pPr>
        <w:pStyle w:val="Ingetavstnd"/>
      </w:pPr>
    </w:p>
    <w:p w:rsidR="0021039A" w:rsidRDefault="0021039A" w:rsidP="003F48AA">
      <w:pPr>
        <w:pStyle w:val="Ingetavstnd"/>
      </w:pPr>
      <w:proofErr w:type="gramStart"/>
      <w:r>
        <w:t>……………………………………………………………………………………..</w:t>
      </w:r>
      <w:proofErr w:type="gramEnd"/>
    </w:p>
    <w:p w:rsidR="00553692" w:rsidRDefault="00553692" w:rsidP="003F48AA">
      <w:pPr>
        <w:pStyle w:val="Ingetavstnd"/>
      </w:pPr>
    </w:p>
    <w:p w:rsidR="00553692" w:rsidRPr="00553692" w:rsidRDefault="00553692" w:rsidP="003F48AA">
      <w:pPr>
        <w:pStyle w:val="Ingetavstnd"/>
        <w:rPr>
          <w:i/>
        </w:rPr>
      </w:pPr>
      <w:r>
        <w:rPr>
          <w:i/>
        </w:rPr>
        <w:t>Kommer undertecknas av regionens kulturchef, samt kommunernas chefer inom socialförvaltning och kultur.</w:t>
      </w:r>
    </w:p>
    <w:sectPr w:rsidR="00553692" w:rsidRPr="00553692" w:rsidSect="00DE5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7D0"/>
    <w:multiLevelType w:val="hybridMultilevel"/>
    <w:tmpl w:val="801E717A"/>
    <w:lvl w:ilvl="0" w:tplc="433CC58E">
      <w:start w:val="20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0667B4F"/>
    <w:multiLevelType w:val="hybridMultilevel"/>
    <w:tmpl w:val="ACD4BF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6B73B5"/>
    <w:multiLevelType w:val="hybridMultilevel"/>
    <w:tmpl w:val="4E3CB9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F7539E9"/>
    <w:multiLevelType w:val="hybridMultilevel"/>
    <w:tmpl w:val="E09686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52826B9"/>
    <w:multiLevelType w:val="hybridMultilevel"/>
    <w:tmpl w:val="673E3ED4"/>
    <w:lvl w:ilvl="0" w:tplc="3F6EED5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57B7B83"/>
    <w:multiLevelType w:val="hybridMultilevel"/>
    <w:tmpl w:val="8ACEA5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61A4532"/>
    <w:multiLevelType w:val="hybridMultilevel"/>
    <w:tmpl w:val="949495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20E6587"/>
    <w:multiLevelType w:val="hybridMultilevel"/>
    <w:tmpl w:val="74EAB8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AA"/>
    <w:rsid w:val="00054F29"/>
    <w:rsid w:val="0021039A"/>
    <w:rsid w:val="003F48AA"/>
    <w:rsid w:val="00553692"/>
    <w:rsid w:val="00827B85"/>
    <w:rsid w:val="00F03E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633A"/>
  <w15:chartTrackingRefBased/>
  <w15:docId w15:val="{FFD7C218-BBFA-4D68-B3D6-71DAB054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8AA"/>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F48AA"/>
    <w:pPr>
      <w:spacing w:after="0" w:line="240" w:lineRule="auto"/>
    </w:pPr>
  </w:style>
  <w:style w:type="table" w:styleId="Tabellrutnt">
    <w:name w:val="Table Grid"/>
    <w:basedOn w:val="Normaltabell"/>
    <w:uiPriority w:val="59"/>
    <w:rsid w:val="003F4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unhideWhenUsed/>
    <w:rsid w:val="002103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8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718</Words>
  <Characters>3808</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2018-10-22T14:47:00Z</dcterms:created>
  <dcterms:modified xsi:type="dcterms:W3CDTF">2018-12-21T10:20:00Z</dcterms:modified>
</cp:coreProperties>
</file>